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DA1" w:rsidRDefault="007A0D23">
      <w:pPr>
        <w:pStyle w:val="a7"/>
        <w:ind w:firstLineChars="0" w:firstLine="0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2021年度华</w:t>
      </w:r>
      <w:proofErr w:type="gramStart"/>
      <w:r>
        <w:rPr>
          <w:rFonts w:ascii="黑体" w:eastAsia="黑体" w:hint="eastAsia"/>
          <w:b/>
          <w:sz w:val="32"/>
          <w:szCs w:val="32"/>
        </w:rPr>
        <w:t>电</w:t>
      </w:r>
      <w:proofErr w:type="gramEnd"/>
      <w:r>
        <w:rPr>
          <w:rFonts w:ascii="黑体" w:eastAsia="黑体" w:hint="eastAsia"/>
          <w:b/>
          <w:sz w:val="32"/>
          <w:szCs w:val="32"/>
        </w:rPr>
        <w:t>电力科学研究院有限公司实习招聘简章</w:t>
      </w:r>
    </w:p>
    <w:p w:rsidR="000A7DA1" w:rsidRDefault="000A7DA1">
      <w:pPr>
        <w:pStyle w:val="a7"/>
        <w:ind w:firstLineChars="0" w:firstLine="0"/>
        <w:jc w:val="center"/>
        <w:rPr>
          <w:rFonts w:asciiTheme="minorEastAsia" w:hAnsiTheme="minorEastAsia"/>
          <w:i/>
          <w:sz w:val="28"/>
          <w:szCs w:val="28"/>
        </w:rPr>
      </w:pPr>
    </w:p>
    <w:p w:rsidR="000A7DA1" w:rsidRDefault="007A0D23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b/>
          <w:sz w:val="28"/>
          <w:szCs w:val="28"/>
        </w:rPr>
        <w:t>公司简介</w:t>
      </w:r>
    </w:p>
    <w:p w:rsidR="000A7DA1" w:rsidRDefault="007A0D23">
      <w:pPr>
        <w:pStyle w:val="a7"/>
        <w:ind w:firstLine="560"/>
        <w:rPr>
          <w:iCs/>
          <w:sz w:val="28"/>
          <w:szCs w:val="28"/>
        </w:rPr>
      </w:pPr>
      <w:r>
        <w:rPr>
          <w:rFonts w:hint="eastAsia"/>
          <w:iCs/>
          <w:sz w:val="28"/>
          <w:szCs w:val="28"/>
        </w:rPr>
        <w:t>华</w:t>
      </w:r>
      <w:proofErr w:type="gramStart"/>
      <w:r>
        <w:rPr>
          <w:rFonts w:hint="eastAsia"/>
          <w:iCs/>
          <w:sz w:val="28"/>
          <w:szCs w:val="28"/>
        </w:rPr>
        <w:t>电</w:t>
      </w:r>
      <w:proofErr w:type="gramEnd"/>
      <w:r>
        <w:rPr>
          <w:rFonts w:hint="eastAsia"/>
          <w:iCs/>
          <w:sz w:val="28"/>
          <w:szCs w:val="28"/>
        </w:rPr>
        <w:t>电力科学研究院有限公司（以下简称“华电</w:t>
      </w:r>
      <w:proofErr w:type="gramStart"/>
      <w:r>
        <w:rPr>
          <w:rFonts w:hint="eastAsia"/>
          <w:iCs/>
          <w:sz w:val="28"/>
          <w:szCs w:val="28"/>
        </w:rPr>
        <w:t>电</w:t>
      </w:r>
      <w:proofErr w:type="gramEnd"/>
      <w:r>
        <w:rPr>
          <w:rFonts w:hint="eastAsia"/>
          <w:iCs/>
          <w:sz w:val="28"/>
          <w:szCs w:val="28"/>
        </w:rPr>
        <w:t>科院”）始建于</w:t>
      </w:r>
      <w:r>
        <w:rPr>
          <w:rFonts w:hint="eastAsia"/>
          <w:iCs/>
          <w:sz w:val="28"/>
          <w:szCs w:val="28"/>
        </w:rPr>
        <w:t>1956</w:t>
      </w:r>
      <w:r>
        <w:rPr>
          <w:rFonts w:hint="eastAsia"/>
          <w:iCs/>
          <w:sz w:val="28"/>
          <w:szCs w:val="28"/>
        </w:rPr>
        <w:t>年</w:t>
      </w:r>
      <w:r>
        <w:rPr>
          <w:rFonts w:hint="eastAsia"/>
          <w:iCs/>
          <w:sz w:val="28"/>
          <w:szCs w:val="28"/>
        </w:rPr>
        <w:t>10</w:t>
      </w:r>
      <w:r>
        <w:rPr>
          <w:rFonts w:hint="eastAsia"/>
          <w:iCs/>
          <w:sz w:val="28"/>
          <w:szCs w:val="28"/>
        </w:rPr>
        <w:t>月，是中国华电集团有限公司（以下简称“中国华电”）直属的唯一科研机构，曾隶属电力工业部、水利电力部、能源部。华电</w:t>
      </w:r>
      <w:proofErr w:type="gramStart"/>
      <w:r>
        <w:rPr>
          <w:rFonts w:hint="eastAsia"/>
          <w:iCs/>
          <w:sz w:val="28"/>
          <w:szCs w:val="28"/>
        </w:rPr>
        <w:t>电</w:t>
      </w:r>
      <w:proofErr w:type="gramEnd"/>
      <w:r>
        <w:rPr>
          <w:rFonts w:hint="eastAsia"/>
          <w:iCs/>
          <w:sz w:val="28"/>
          <w:szCs w:val="28"/>
        </w:rPr>
        <w:t>科院坚持“面向集团、服务主业、产</w:t>
      </w:r>
      <w:proofErr w:type="gramStart"/>
      <w:r>
        <w:rPr>
          <w:rFonts w:hint="eastAsia"/>
          <w:iCs/>
          <w:sz w:val="28"/>
          <w:szCs w:val="28"/>
        </w:rPr>
        <w:t>研</w:t>
      </w:r>
      <w:proofErr w:type="gramEnd"/>
      <w:r>
        <w:rPr>
          <w:rFonts w:hint="eastAsia"/>
          <w:iCs/>
          <w:sz w:val="28"/>
          <w:szCs w:val="28"/>
        </w:rPr>
        <w:t>结合”的发展方针，以中国华电“五三六战略”为引领，积极履行中国华电赋予的集团技术监督、技术服务、技术支撑和集团中央研究院职责，全面服务中国华</w:t>
      </w:r>
      <w:proofErr w:type="gramStart"/>
      <w:r>
        <w:rPr>
          <w:rFonts w:hint="eastAsia"/>
          <w:iCs/>
          <w:sz w:val="28"/>
          <w:szCs w:val="28"/>
        </w:rPr>
        <w:t>电及其</w:t>
      </w:r>
      <w:proofErr w:type="gramEnd"/>
      <w:r>
        <w:rPr>
          <w:rFonts w:hint="eastAsia"/>
          <w:iCs/>
          <w:sz w:val="28"/>
          <w:szCs w:val="28"/>
        </w:rPr>
        <w:t>直属单位和所属</w:t>
      </w:r>
      <w:r>
        <w:rPr>
          <w:rFonts w:hint="eastAsia"/>
          <w:iCs/>
          <w:sz w:val="28"/>
          <w:szCs w:val="28"/>
        </w:rPr>
        <w:t>300</w:t>
      </w:r>
      <w:r>
        <w:rPr>
          <w:rFonts w:hint="eastAsia"/>
          <w:iCs/>
          <w:sz w:val="28"/>
          <w:szCs w:val="28"/>
        </w:rPr>
        <w:t>余家境内外发电企业，全力为能源行业的科学发展和技术进步做出积极贡献。</w:t>
      </w:r>
    </w:p>
    <w:p w:rsidR="000A7DA1" w:rsidRDefault="007A0D23">
      <w:pPr>
        <w:pStyle w:val="a7"/>
        <w:ind w:firstLine="560"/>
        <w:rPr>
          <w:iCs/>
          <w:sz w:val="28"/>
          <w:szCs w:val="28"/>
        </w:rPr>
      </w:pPr>
      <w:r>
        <w:rPr>
          <w:rFonts w:hint="eastAsia"/>
          <w:iCs/>
          <w:sz w:val="28"/>
          <w:szCs w:val="28"/>
        </w:rPr>
        <w:t>华电</w:t>
      </w:r>
      <w:proofErr w:type="gramStart"/>
      <w:r>
        <w:rPr>
          <w:rFonts w:hint="eastAsia"/>
          <w:iCs/>
          <w:sz w:val="28"/>
          <w:szCs w:val="28"/>
        </w:rPr>
        <w:t>电</w:t>
      </w:r>
      <w:proofErr w:type="gramEnd"/>
      <w:r>
        <w:rPr>
          <w:rFonts w:hint="eastAsia"/>
          <w:iCs/>
          <w:sz w:val="28"/>
          <w:szCs w:val="28"/>
        </w:rPr>
        <w:t>科院拥有国家分布式能源、火电能效检测等</w:t>
      </w:r>
      <w:r>
        <w:rPr>
          <w:rFonts w:hint="eastAsia"/>
          <w:iCs/>
          <w:sz w:val="28"/>
          <w:szCs w:val="28"/>
        </w:rPr>
        <w:t>2</w:t>
      </w:r>
      <w:r>
        <w:rPr>
          <w:rFonts w:hint="eastAsia"/>
          <w:iCs/>
          <w:sz w:val="28"/>
          <w:szCs w:val="28"/>
        </w:rPr>
        <w:t>个国家级研发中心、浙江省蓄能与建筑节能等</w:t>
      </w:r>
      <w:r>
        <w:rPr>
          <w:rFonts w:hint="eastAsia"/>
          <w:iCs/>
          <w:sz w:val="28"/>
          <w:szCs w:val="28"/>
        </w:rPr>
        <w:t>1</w:t>
      </w:r>
      <w:r>
        <w:rPr>
          <w:rFonts w:hint="eastAsia"/>
          <w:iCs/>
          <w:sz w:val="28"/>
          <w:szCs w:val="28"/>
        </w:rPr>
        <w:t>个省级重点实验室以及水电、新能源、环保监督、智能能源、电力市场等</w:t>
      </w:r>
      <w:r>
        <w:rPr>
          <w:rFonts w:hint="eastAsia"/>
          <w:iCs/>
          <w:sz w:val="28"/>
          <w:szCs w:val="28"/>
        </w:rPr>
        <w:t>10</w:t>
      </w:r>
      <w:r>
        <w:rPr>
          <w:rFonts w:hint="eastAsia"/>
          <w:iCs/>
          <w:sz w:val="28"/>
          <w:szCs w:val="28"/>
        </w:rPr>
        <w:t>个</w:t>
      </w:r>
      <w:proofErr w:type="gramStart"/>
      <w:r>
        <w:rPr>
          <w:rFonts w:hint="eastAsia"/>
          <w:iCs/>
          <w:sz w:val="28"/>
          <w:szCs w:val="28"/>
        </w:rPr>
        <w:t>集团级</w:t>
      </w:r>
      <w:proofErr w:type="gramEnd"/>
      <w:r>
        <w:rPr>
          <w:rFonts w:hint="eastAsia"/>
          <w:iCs/>
          <w:sz w:val="28"/>
          <w:szCs w:val="28"/>
        </w:rPr>
        <w:t>技术中心，设有院士工作站、博士后工作站，建成了国内电力行业首个碳排放检测与低碳技术实验室、煤电固</w:t>
      </w:r>
      <w:proofErr w:type="gramStart"/>
      <w:r>
        <w:rPr>
          <w:rFonts w:hint="eastAsia"/>
          <w:iCs/>
          <w:sz w:val="28"/>
          <w:szCs w:val="28"/>
        </w:rPr>
        <w:t>废污染</w:t>
      </w:r>
      <w:proofErr w:type="gramEnd"/>
      <w:r>
        <w:rPr>
          <w:rFonts w:hint="eastAsia"/>
          <w:iCs/>
          <w:sz w:val="28"/>
          <w:szCs w:val="28"/>
        </w:rPr>
        <w:t>防治技术研究中心，是能源行业燃气分布式标委会、中电联电力实验室管理标委会、中国电机工程学会电力环保专委</w:t>
      </w:r>
      <w:proofErr w:type="gramStart"/>
      <w:r>
        <w:rPr>
          <w:rFonts w:hint="eastAsia"/>
          <w:iCs/>
          <w:sz w:val="28"/>
          <w:szCs w:val="28"/>
        </w:rPr>
        <w:t>会碳减</w:t>
      </w:r>
      <w:proofErr w:type="gramEnd"/>
      <w:r>
        <w:rPr>
          <w:rFonts w:hint="eastAsia"/>
          <w:iCs/>
          <w:sz w:val="28"/>
          <w:szCs w:val="28"/>
        </w:rPr>
        <w:t>排与</w:t>
      </w:r>
      <w:proofErr w:type="gramStart"/>
      <w:r>
        <w:rPr>
          <w:rFonts w:hint="eastAsia"/>
          <w:iCs/>
          <w:sz w:val="28"/>
          <w:szCs w:val="28"/>
        </w:rPr>
        <w:t>碳交易学</w:t>
      </w:r>
      <w:proofErr w:type="gramEnd"/>
      <w:r>
        <w:rPr>
          <w:rFonts w:hint="eastAsia"/>
          <w:iCs/>
          <w:sz w:val="28"/>
          <w:szCs w:val="28"/>
        </w:rPr>
        <w:t>组等的秘书处单位，是</w:t>
      </w:r>
      <w:proofErr w:type="gramStart"/>
      <w:r>
        <w:rPr>
          <w:rFonts w:hint="eastAsia"/>
          <w:iCs/>
          <w:sz w:val="28"/>
          <w:szCs w:val="28"/>
        </w:rPr>
        <w:t>中国散协粉煤灰</w:t>
      </w:r>
      <w:proofErr w:type="gramEnd"/>
      <w:r>
        <w:rPr>
          <w:rFonts w:hint="eastAsia"/>
          <w:iCs/>
          <w:sz w:val="28"/>
          <w:szCs w:val="28"/>
        </w:rPr>
        <w:t>专委会会长单位，具有</w:t>
      </w:r>
      <w:r>
        <w:rPr>
          <w:rFonts w:hint="eastAsia"/>
          <w:iCs/>
          <w:sz w:val="28"/>
          <w:szCs w:val="28"/>
        </w:rPr>
        <w:t>CMA</w:t>
      </w:r>
      <w:r>
        <w:rPr>
          <w:rFonts w:hint="eastAsia"/>
          <w:iCs/>
          <w:sz w:val="28"/>
          <w:szCs w:val="28"/>
        </w:rPr>
        <w:t>、特检、计量、工程咨询甲级、调试特级、工程设计乙级等</w:t>
      </w:r>
      <w:r>
        <w:rPr>
          <w:rFonts w:hint="eastAsia"/>
          <w:iCs/>
          <w:sz w:val="28"/>
          <w:szCs w:val="28"/>
        </w:rPr>
        <w:t>20</w:t>
      </w:r>
      <w:r>
        <w:rPr>
          <w:rFonts w:hint="eastAsia"/>
          <w:iCs/>
          <w:sz w:val="28"/>
          <w:szCs w:val="28"/>
        </w:rPr>
        <w:t>余项资质。</w:t>
      </w:r>
    </w:p>
    <w:p w:rsidR="000A7DA1" w:rsidRDefault="007A0D23">
      <w:r>
        <w:rPr>
          <w:noProof/>
        </w:rPr>
        <w:lastRenderedPageBreak/>
        <w:drawing>
          <wp:inline distT="0" distB="0" distL="114300" distR="114300">
            <wp:extent cx="2630170" cy="1477010"/>
            <wp:effectExtent l="0" t="0" r="6350" b="1270"/>
            <wp:docPr id="4" name="图片 4" descr="b25dc0e119319ec026b4e296a608e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25dc0e119319ec026b4e296a608ef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2472055" cy="1474470"/>
            <wp:effectExtent l="0" t="0" r="12065" b="3810"/>
            <wp:docPr id="3" name="图片 2" descr="Z68A8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Z68A809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2055" cy="147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DA1" w:rsidRDefault="007A0D23">
      <w:r>
        <w:rPr>
          <w:rFonts w:hint="eastAsia"/>
          <w:noProof/>
        </w:rPr>
        <w:drawing>
          <wp:inline distT="0" distB="0" distL="114300" distR="114300">
            <wp:extent cx="2503805" cy="1669415"/>
            <wp:effectExtent l="0" t="0" r="10795" b="6985"/>
            <wp:docPr id="1" name="图片 1" descr="电科院常用宣传照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电科院常用宣传照片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3805" cy="166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2601595" cy="1735455"/>
            <wp:effectExtent l="0" t="0" r="4445" b="1905"/>
            <wp:docPr id="2" name="图片 2" descr="电科院常用宣传照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电科院常用宣传照片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159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DA1" w:rsidRDefault="007A0D2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二、实践课题汇总</w:t>
      </w:r>
    </w:p>
    <w:tbl>
      <w:tblPr>
        <w:tblW w:w="9632" w:type="dxa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2"/>
        <w:gridCol w:w="1265"/>
        <w:gridCol w:w="649"/>
        <w:gridCol w:w="2278"/>
        <w:gridCol w:w="819"/>
        <w:gridCol w:w="697"/>
        <w:gridCol w:w="2428"/>
        <w:gridCol w:w="864"/>
      </w:tblGrid>
      <w:tr w:rsidR="000A7DA1">
        <w:trPr>
          <w:trHeight w:val="658"/>
          <w:tblHeader/>
        </w:trPr>
        <w:tc>
          <w:tcPr>
            <w:tcW w:w="632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课题名称</w:t>
            </w:r>
          </w:p>
        </w:tc>
        <w:tc>
          <w:tcPr>
            <w:tcW w:w="649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实践时长</w:t>
            </w: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主要研究内容</w:t>
            </w:r>
          </w:p>
        </w:tc>
        <w:tc>
          <w:tcPr>
            <w:tcW w:w="819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企业导师</w:t>
            </w:r>
          </w:p>
        </w:tc>
        <w:tc>
          <w:tcPr>
            <w:tcW w:w="697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需要人数</w:t>
            </w:r>
          </w:p>
        </w:tc>
        <w:tc>
          <w:tcPr>
            <w:tcW w:w="242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专业方向或要求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地点</w:t>
            </w:r>
          </w:p>
        </w:tc>
      </w:tr>
      <w:tr w:rsidR="000A7DA1">
        <w:trPr>
          <w:trHeight w:val="1000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多元储能控制策略研究</w:t>
            </w:r>
          </w:p>
        </w:tc>
        <w:tc>
          <w:tcPr>
            <w:tcW w:w="64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12个月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（1）研究调峰、调频、调相等不同典型场景下的多元混合储能的协同控制逻辑、功率分配模型。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王彤</w:t>
            </w:r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2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电气工程、电力电子、自动化、控制工程等相关专业。</w:t>
            </w:r>
          </w:p>
        </w:tc>
        <w:tc>
          <w:tcPr>
            <w:tcW w:w="864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</w:t>
            </w:r>
          </w:p>
        </w:tc>
      </w:tr>
      <w:tr w:rsidR="000A7DA1">
        <w:trPr>
          <w:trHeight w:val="1240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（2）应用改进遗传算法对影响系统性能的主要控制参数进行优化分析。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控制方向：有电力系统调频调峰控制系统的开发经验，熟悉电力储能的相关技术；或熟悉控制系统的设计仿真软件，有一定的编程知识，熟悉MCU或 PLC的开发技术。</w:t>
            </w: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660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电气方向：熟悉储能电站的电网接入方案，如调度自动化，二次安防等知识。</w:t>
            </w: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480"/>
        </w:trPr>
        <w:tc>
          <w:tcPr>
            <w:tcW w:w="632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5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清洁高效综合能源智慧供应系统关键技术研究与应用</w:t>
            </w:r>
          </w:p>
        </w:tc>
        <w:tc>
          <w:tcPr>
            <w:tcW w:w="649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12个月</w:t>
            </w: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（1）煤矿能耗体系认证研究。</w:t>
            </w:r>
          </w:p>
        </w:tc>
        <w:tc>
          <w:tcPr>
            <w:tcW w:w="819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汤效平</w:t>
            </w:r>
            <w:proofErr w:type="gramEnd"/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28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电气工程、电力系统自动化、电力电子技术、热动等</w:t>
            </w: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360"/>
        </w:trPr>
        <w:tc>
          <w:tcPr>
            <w:tcW w:w="632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（2）综合能源供应关键技术。</w:t>
            </w:r>
          </w:p>
        </w:tc>
        <w:tc>
          <w:tcPr>
            <w:tcW w:w="81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620"/>
        </w:trPr>
        <w:tc>
          <w:tcPr>
            <w:tcW w:w="632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（3）综合能源平台建设。</w:t>
            </w:r>
          </w:p>
        </w:tc>
        <w:tc>
          <w:tcPr>
            <w:tcW w:w="81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660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智能化煤矿数据中心关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键技术研究与应用</w:t>
            </w:r>
          </w:p>
        </w:tc>
        <w:tc>
          <w:tcPr>
            <w:tcW w:w="64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12个月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（1）数据中心的建设服务，如可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、设计等。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黄晓凡</w:t>
            </w:r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计算机、人工智能等</w:t>
            </w: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1120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（2）实现数据中心的增值服务，如人工智能、数据孪生、无人驾驶等。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420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采空区光伏生态产业应用方案研究</w:t>
            </w:r>
          </w:p>
        </w:tc>
        <w:tc>
          <w:tcPr>
            <w:tcW w:w="64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12个月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（1）生态光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伏关键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技术研究。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王兹尧</w:t>
            </w:r>
            <w:proofErr w:type="gramEnd"/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风光新能源、矿山修复等专业</w:t>
            </w: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820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（2）煤炭塌陷区生态修复等关键技术研究等。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460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流域水光互补优化调度研究</w:t>
            </w:r>
          </w:p>
        </w:tc>
        <w:tc>
          <w:tcPr>
            <w:tcW w:w="64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6-12个月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（1）水光互补特性及模式研究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何勇</w:t>
            </w:r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水库调度、电力市场、系统开发</w:t>
            </w:r>
          </w:p>
        </w:tc>
        <w:tc>
          <w:tcPr>
            <w:tcW w:w="864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</w:t>
            </w:r>
          </w:p>
        </w:tc>
      </w:tr>
      <w:tr w:rsidR="000A7DA1">
        <w:trPr>
          <w:trHeight w:val="720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（2）智能调度关键技术研究及模型算法研发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360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（3）流域水光互补调度规则研究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（4）水光互补调度效益评价指标体系研究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480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（5）梯级水电站优化调度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600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水电机组故障诊断及趋势预警研究</w:t>
            </w:r>
          </w:p>
        </w:tc>
        <w:tc>
          <w:tcPr>
            <w:tcW w:w="64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6-12个月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（1）水轮发电机故障机理及故障模型；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曹威</w:t>
            </w:r>
            <w:proofErr w:type="gramEnd"/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水轮发电机机、数据算法、系统开发</w:t>
            </w: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（2）设备状态评价及趋势预警模型；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440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（3）设备状态检修决策模型研究。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5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电站大型起重机械安全监测与健康管理系统应用研究</w:t>
            </w:r>
          </w:p>
        </w:tc>
        <w:tc>
          <w:tcPr>
            <w:tcW w:w="649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6-12个月</w:t>
            </w: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1.起重机结构应力监测长期稳定性研究</w:t>
            </w:r>
          </w:p>
        </w:tc>
        <w:tc>
          <w:tcPr>
            <w:tcW w:w="819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陈庚</w:t>
            </w:r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428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控制科学与工程、电机与电器、电气系统检测与控制、信息与通信工程、电工理论与新技术、智能电网信息与通信工程、电力信息技术等</w:t>
            </w: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420"/>
        </w:trPr>
        <w:tc>
          <w:tcPr>
            <w:tcW w:w="632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2.起重机结构振动在线监测实现研究</w:t>
            </w:r>
          </w:p>
        </w:tc>
        <w:tc>
          <w:tcPr>
            <w:tcW w:w="81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3.起重机结构疲劳寿命评价预警系统模型研究</w:t>
            </w:r>
          </w:p>
        </w:tc>
        <w:tc>
          <w:tcPr>
            <w:tcW w:w="81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300"/>
        </w:trPr>
        <w:tc>
          <w:tcPr>
            <w:tcW w:w="632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4.起重机械关键运行参数监测研究</w:t>
            </w:r>
          </w:p>
        </w:tc>
        <w:tc>
          <w:tcPr>
            <w:tcW w:w="81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864"/>
        </w:trPr>
        <w:tc>
          <w:tcPr>
            <w:tcW w:w="632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5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卸船机智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能维保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及远程诊断系统的研究与应用</w:t>
            </w:r>
          </w:p>
        </w:tc>
        <w:tc>
          <w:tcPr>
            <w:tcW w:w="649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6-12个月</w:t>
            </w: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（1）卸船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机状态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监测与故障诊断预测研究，包括方案设计和故障预测模型开发；</w:t>
            </w:r>
          </w:p>
        </w:tc>
        <w:tc>
          <w:tcPr>
            <w:tcW w:w="819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岳益锋</w:t>
            </w:r>
            <w:proofErr w:type="gramEnd"/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28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电气自动化专业，有PLC编程经验和大数据故障建模诊断经验的优先考虑</w:t>
            </w: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288"/>
        </w:trPr>
        <w:tc>
          <w:tcPr>
            <w:tcW w:w="632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（2）卸船机在线智能润滑研究；</w:t>
            </w:r>
          </w:p>
        </w:tc>
        <w:tc>
          <w:tcPr>
            <w:tcW w:w="81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（3）卸船机故障诊断与维护系统开发；</w:t>
            </w:r>
          </w:p>
        </w:tc>
        <w:tc>
          <w:tcPr>
            <w:tcW w:w="81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265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火电企业参与全国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碳市场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应对策略及技术路径研究</w:t>
            </w:r>
          </w:p>
        </w:tc>
        <w:tc>
          <w:tcPr>
            <w:tcW w:w="649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6-12个月</w:t>
            </w: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（1）火电企业碳排放核算方法及不确定度评价研究</w:t>
            </w:r>
          </w:p>
        </w:tc>
        <w:tc>
          <w:tcPr>
            <w:tcW w:w="819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郭振</w:t>
            </w:r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428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热动、低碳、环境科学、环境工程、金融等</w:t>
            </w: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（2）火电企业碳排放监测、报告与核查技术规范研究</w:t>
            </w:r>
          </w:p>
        </w:tc>
        <w:tc>
          <w:tcPr>
            <w:tcW w:w="81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（3）发电行业碳排放配额分配方法研究</w:t>
            </w:r>
          </w:p>
        </w:tc>
        <w:tc>
          <w:tcPr>
            <w:tcW w:w="819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火电企业烟气二氧化碳连续监测技术及低碳技术研发</w:t>
            </w:r>
          </w:p>
        </w:tc>
        <w:tc>
          <w:tcPr>
            <w:tcW w:w="64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6-12个月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（1）火电企业烟气连续监测技术应用及评价规范研究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孙友源</w:t>
            </w:r>
          </w:p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任  健</w:t>
            </w:r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热动、低碳技术、环境科学、环境工程等</w:t>
            </w: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（2）火电企业连续监测技术国家监测示范企业现场示范应用推广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（3）火电企业CCUS、生物质耦合等低碳技术研发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660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水电市场化改革方向和应对机制研究</w:t>
            </w:r>
          </w:p>
        </w:tc>
        <w:tc>
          <w:tcPr>
            <w:tcW w:w="64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6个月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1.电力市场发展方向及水电企业市场竞争力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判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张继广</w:t>
            </w:r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0A7DA1" w:rsidRDefault="007A0D2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电气工程、电力系统自动化、电力市场方向</w:t>
            </w: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A7DA1">
        <w:trPr>
          <w:trHeight w:val="680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2.福建水电企业参与电力市场竞争机制研究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A7DA1">
        <w:trPr>
          <w:trHeight w:val="576"/>
        </w:trPr>
        <w:tc>
          <w:tcPr>
            <w:tcW w:w="632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0A7DA1" w:rsidRDefault="007A0D2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sz w:val="20"/>
                <w:szCs w:val="20"/>
              </w:rPr>
              <w:t>3.</w:t>
            </w:r>
            <w:r>
              <w:rPr>
                <w:rStyle w:val="font01"/>
                <w:rFonts w:hint="default"/>
                <w:sz w:val="20"/>
                <w:szCs w:val="20"/>
              </w:rPr>
              <w:t xml:space="preserve"> </w:t>
            </w:r>
            <w:r>
              <w:rPr>
                <w:rStyle w:val="font21"/>
                <w:rFonts w:hint="default"/>
                <w:sz w:val="20"/>
                <w:szCs w:val="20"/>
              </w:rPr>
              <w:t>适应福建水电企业提升市场竞争力的运营策略研究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0A7DA1" w:rsidRDefault="000A7DA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3989" w:rsidTr="00F43989">
        <w:trPr>
          <w:trHeight w:val="423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4398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抽水蓄能电站厂级智能优化控制系统研制</w:t>
            </w:r>
          </w:p>
        </w:tc>
        <w:tc>
          <w:tcPr>
            <w:tcW w:w="649" w:type="dxa"/>
            <w:vMerge w:val="restart"/>
            <w:shd w:val="clear" w:color="auto" w:fill="auto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4398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12-14个月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F43989" w:rsidRDefault="00F43989">
            <w:pPr>
              <w:widowControl/>
              <w:jc w:val="left"/>
              <w:textAlignment w:val="center"/>
              <w:rPr>
                <w:rStyle w:val="font21"/>
                <w:rFonts w:hint="default"/>
                <w:sz w:val="20"/>
                <w:szCs w:val="20"/>
              </w:rPr>
            </w:pPr>
            <w:r>
              <w:rPr>
                <w:rStyle w:val="font21"/>
                <w:rFonts w:hint="default"/>
                <w:sz w:val="20"/>
                <w:szCs w:val="20"/>
              </w:rPr>
              <w:t xml:space="preserve">1 </w:t>
            </w:r>
            <w:r w:rsidRPr="00F43989">
              <w:rPr>
                <w:rStyle w:val="font21"/>
                <w:rFonts w:hint="default"/>
                <w:sz w:val="20"/>
                <w:szCs w:val="20"/>
              </w:rPr>
              <w:t>研究机组设备特性影响因素，绘制电站主体设备特性曲线。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F43989" w:rsidRDefault="00E9102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张邵清</w:t>
            </w:r>
          </w:p>
        </w:tc>
        <w:tc>
          <w:tcPr>
            <w:tcW w:w="697" w:type="dxa"/>
            <w:vMerge w:val="restart"/>
            <w:shd w:val="clear" w:color="auto" w:fill="FFFFFF"/>
            <w:vAlign w:val="center"/>
          </w:tcPr>
          <w:p w:rsidR="00F43989" w:rsidRDefault="00E9102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 w:val="restart"/>
            <w:shd w:val="clear" w:color="auto" w:fill="auto"/>
            <w:vAlign w:val="center"/>
          </w:tcPr>
          <w:p w:rsid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3989">
        <w:trPr>
          <w:trHeight w:val="420"/>
        </w:trPr>
        <w:tc>
          <w:tcPr>
            <w:tcW w:w="632" w:type="dxa"/>
            <w:vMerge/>
            <w:shd w:val="clear" w:color="auto" w:fill="auto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F43989" w:rsidRP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F43989" w:rsidRP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F43989" w:rsidRDefault="00F43989">
            <w:pPr>
              <w:widowControl/>
              <w:jc w:val="left"/>
              <w:textAlignment w:val="center"/>
              <w:rPr>
                <w:rStyle w:val="font21"/>
                <w:rFonts w:hint="default"/>
                <w:sz w:val="20"/>
                <w:szCs w:val="20"/>
              </w:rPr>
            </w:pPr>
            <w:r>
              <w:rPr>
                <w:rStyle w:val="font21"/>
                <w:rFonts w:hint="default"/>
                <w:sz w:val="20"/>
                <w:szCs w:val="20"/>
              </w:rPr>
              <w:t xml:space="preserve">2 </w:t>
            </w:r>
            <w:r w:rsidRPr="00F43989">
              <w:rPr>
                <w:rStyle w:val="font21"/>
                <w:rFonts w:hint="default"/>
                <w:sz w:val="20"/>
                <w:szCs w:val="20"/>
              </w:rPr>
              <w:t>研究实时在线机组性能计算、能效指标管理技术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3989">
        <w:trPr>
          <w:trHeight w:val="420"/>
        </w:trPr>
        <w:tc>
          <w:tcPr>
            <w:tcW w:w="632" w:type="dxa"/>
            <w:vMerge/>
            <w:shd w:val="clear" w:color="auto" w:fill="auto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F43989" w:rsidRP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F43989" w:rsidRP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F43989" w:rsidRDefault="00F43989">
            <w:pPr>
              <w:widowControl/>
              <w:jc w:val="left"/>
              <w:textAlignment w:val="center"/>
              <w:rPr>
                <w:rStyle w:val="font21"/>
                <w:rFonts w:hint="default"/>
                <w:sz w:val="20"/>
                <w:szCs w:val="20"/>
              </w:rPr>
            </w:pPr>
            <w:r>
              <w:rPr>
                <w:rStyle w:val="font21"/>
                <w:rFonts w:hint="default"/>
                <w:sz w:val="20"/>
                <w:szCs w:val="20"/>
              </w:rPr>
              <w:t xml:space="preserve">3 </w:t>
            </w:r>
            <w:r w:rsidRPr="00F43989">
              <w:rPr>
                <w:rStyle w:val="font21"/>
                <w:rFonts w:hint="default"/>
                <w:sz w:val="20"/>
                <w:szCs w:val="20"/>
              </w:rPr>
              <w:t>研究多目标实时智能优化控制技术，建立厂级设备动态优化分配模型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3989">
        <w:trPr>
          <w:trHeight w:val="420"/>
        </w:trPr>
        <w:tc>
          <w:tcPr>
            <w:tcW w:w="632" w:type="dxa"/>
            <w:vMerge/>
            <w:shd w:val="clear" w:color="auto" w:fill="auto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F43989" w:rsidRP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vMerge/>
            <w:shd w:val="clear" w:color="auto" w:fill="auto"/>
            <w:vAlign w:val="center"/>
          </w:tcPr>
          <w:p w:rsidR="00F43989" w:rsidRP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:rsidR="00F43989" w:rsidRDefault="00F43989" w:rsidP="00F43989">
            <w:pPr>
              <w:widowControl/>
              <w:jc w:val="left"/>
              <w:textAlignment w:val="center"/>
              <w:rPr>
                <w:rStyle w:val="font21"/>
                <w:rFonts w:hint="default"/>
                <w:sz w:val="20"/>
                <w:szCs w:val="20"/>
              </w:rPr>
            </w:pPr>
            <w:r>
              <w:rPr>
                <w:rStyle w:val="font21"/>
                <w:rFonts w:hint="default"/>
                <w:sz w:val="20"/>
                <w:szCs w:val="20"/>
              </w:rPr>
              <w:t xml:space="preserve">4 </w:t>
            </w:r>
            <w:r w:rsidRPr="00F43989">
              <w:rPr>
                <w:rStyle w:val="font21"/>
                <w:rFonts w:hint="default"/>
                <w:sz w:val="20"/>
                <w:szCs w:val="20"/>
              </w:rPr>
              <w:t>完成应用于福建周宁抽水蓄能电站的智能优化控制系统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vMerge/>
            <w:shd w:val="clear" w:color="auto" w:fill="FFFFFF"/>
            <w:vAlign w:val="center"/>
          </w:tcPr>
          <w:p w:rsidR="00F43989" w:rsidRDefault="00F4398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F43989" w:rsidRDefault="00F43989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</w:tbl>
    <w:p w:rsidR="000A7DA1" w:rsidRDefault="000A7DA1">
      <w:pPr>
        <w:rPr>
          <w:b/>
          <w:sz w:val="28"/>
          <w:szCs w:val="28"/>
        </w:rPr>
      </w:pPr>
    </w:p>
    <w:p w:rsidR="000A7DA1" w:rsidRDefault="007A0D23">
      <w:pPr>
        <w:rPr>
          <w:b/>
          <w:sz w:val="28"/>
          <w:szCs w:val="28"/>
        </w:rPr>
      </w:pPr>
      <w:r>
        <w:rPr>
          <w:b/>
          <w:sz w:val="28"/>
          <w:szCs w:val="28"/>
        </w:rPr>
        <w:t>三</w:t>
      </w:r>
      <w:r>
        <w:rPr>
          <w:rFonts w:hint="eastAsia"/>
          <w:b/>
          <w:sz w:val="28"/>
          <w:szCs w:val="28"/>
        </w:rPr>
        <w:t>、相关待遇</w:t>
      </w:r>
    </w:p>
    <w:p w:rsidR="000A7DA1" w:rsidRDefault="007A0D23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1、生活补助：硕士120元/工作日 ，博士200元/工作日。</w:t>
      </w:r>
    </w:p>
    <w:p w:rsidR="000A7DA1" w:rsidRDefault="007A0D23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2、保险：人身意外伤害险等。</w:t>
      </w:r>
    </w:p>
    <w:p w:rsidR="000A7DA1" w:rsidRDefault="007A0D23">
      <w:pPr>
        <w:spacing w:line="360" w:lineRule="auto"/>
        <w:rPr>
          <w:b/>
          <w:sz w:val="28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3、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餐补及住宿：提供工作日免费三餐、员工公寓（硕士2人/间）(博士单人间)。</w:t>
      </w:r>
    </w:p>
    <w:p w:rsidR="000A7DA1" w:rsidRDefault="007A0D2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四、申请注意事项</w:t>
      </w:r>
      <w:r>
        <w:rPr>
          <w:rFonts w:hint="eastAsia"/>
          <w:b/>
          <w:sz w:val="28"/>
          <w:szCs w:val="28"/>
        </w:rPr>
        <w:t xml:space="preserve"> </w:t>
      </w:r>
    </w:p>
    <w:p w:rsidR="000A7DA1" w:rsidRDefault="007A0D2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招收条件</w:t>
      </w:r>
    </w:p>
    <w:p w:rsidR="000A7DA1" w:rsidRDefault="007A0D23">
      <w:pPr>
        <w:spacing w:line="360" w:lineRule="auto"/>
        <w:ind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上海电力大学在读全日制硕士、博士研究生，成绩优异，具有一定的科研实践创新能力、团队合作精神、出色的沟通能力、自信、追求卓越、自我激励、勇于变革、诚信。</w:t>
      </w:r>
    </w:p>
    <w:p w:rsidR="000A7DA1" w:rsidRDefault="007A0D23">
      <w:pPr>
        <w:spacing w:line="360" w:lineRule="auto"/>
        <w:ind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有意向进入公司工作的研究生优先考虑。</w:t>
      </w:r>
    </w:p>
    <w:p w:rsidR="000A7DA1" w:rsidRDefault="007A0D23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招收人数及专业</w:t>
      </w:r>
    </w:p>
    <w:p w:rsidR="000A7DA1" w:rsidRDefault="007A0D23">
      <w:pPr>
        <w:spacing w:line="360" w:lineRule="auto"/>
        <w:ind w:firstLineChars="228" w:firstLine="547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见“实践课题汇总”</w:t>
      </w:r>
    </w:p>
    <w:p w:rsidR="000A7DA1" w:rsidRDefault="007A0D23">
      <w:pPr>
        <w:spacing w:line="360" w:lineRule="auto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3</w:t>
      </w:r>
      <w:r>
        <w:rPr>
          <w:rFonts w:ascii="Times New Roman" w:cs="Times New Roman" w:hint="eastAsia"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时间要求</w:t>
      </w:r>
    </w:p>
    <w:p w:rsidR="000A7DA1" w:rsidRDefault="007A0D23">
      <w:pPr>
        <w:spacing w:line="360" w:lineRule="auto"/>
        <w:ind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报到时间：</w:t>
      </w:r>
      <w:r>
        <w:rPr>
          <w:rFonts w:hint="eastAsia"/>
          <w:sz w:val="24"/>
          <w:szCs w:val="24"/>
        </w:rPr>
        <w:t>2021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月。</w:t>
      </w:r>
    </w:p>
    <w:p w:rsidR="000A7DA1" w:rsidRDefault="007A0D23">
      <w:pPr>
        <w:spacing w:line="360" w:lineRule="auto"/>
        <w:ind w:firstLine="540"/>
        <w:rPr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实习时间根据研究课题和实践进度，一般为</w:t>
      </w:r>
      <w:r>
        <w:rPr>
          <w:rFonts w:ascii="Times New Roman" w:cs="Times New Roman" w:hint="eastAsia"/>
          <w:sz w:val="24"/>
          <w:szCs w:val="24"/>
        </w:rPr>
        <w:t>6-12</w:t>
      </w:r>
      <w:r>
        <w:rPr>
          <w:rFonts w:ascii="Times New Roman" w:cs="Times New Roman" w:hint="eastAsia"/>
          <w:sz w:val="24"/>
          <w:szCs w:val="24"/>
        </w:rPr>
        <w:t>个月。</w:t>
      </w:r>
    </w:p>
    <w:p w:rsidR="000A7DA1" w:rsidRDefault="007A0D23">
      <w:pPr>
        <w:spacing w:line="360" w:lineRule="auto"/>
        <w:rPr>
          <w:color w:val="C00000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企业导师及课题</w:t>
      </w:r>
    </w:p>
    <w:p w:rsidR="000A7DA1" w:rsidRDefault="007A0D23">
      <w:pPr>
        <w:spacing w:line="360" w:lineRule="auto"/>
        <w:ind w:firstLine="540"/>
        <w:rPr>
          <w:sz w:val="28"/>
          <w:szCs w:val="28"/>
        </w:rPr>
      </w:pPr>
      <w:r>
        <w:rPr>
          <w:rFonts w:hint="eastAsia"/>
          <w:sz w:val="24"/>
          <w:szCs w:val="24"/>
        </w:rPr>
        <w:t>配置优秀企业导师。研究生在</w:t>
      </w:r>
      <w:proofErr w:type="gramStart"/>
      <w:r>
        <w:rPr>
          <w:rFonts w:hint="eastAsia"/>
          <w:sz w:val="24"/>
          <w:szCs w:val="24"/>
        </w:rPr>
        <w:t>站期间</w:t>
      </w:r>
      <w:proofErr w:type="gramEnd"/>
      <w:r>
        <w:rPr>
          <w:rFonts w:hint="eastAsia"/>
          <w:sz w:val="24"/>
          <w:szCs w:val="24"/>
        </w:rPr>
        <w:t>需开展至少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项课题研究工作，并完成相关技术报告。</w:t>
      </w:r>
    </w:p>
    <w:p w:rsidR="000A7DA1" w:rsidRDefault="000A7DA1">
      <w:pPr>
        <w:rPr>
          <w:b/>
          <w:color w:val="000000" w:themeColor="text1"/>
          <w:sz w:val="28"/>
          <w:szCs w:val="28"/>
        </w:rPr>
      </w:pPr>
    </w:p>
    <w:p w:rsidR="000A7DA1" w:rsidRDefault="007A0D23">
      <w:pPr>
        <w:rPr>
          <w:b/>
          <w:color w:val="000000" w:themeColor="text1"/>
          <w:sz w:val="28"/>
          <w:szCs w:val="28"/>
        </w:rPr>
      </w:pPr>
      <w:bookmarkStart w:id="0" w:name="_GoBack"/>
      <w:r>
        <w:rPr>
          <w:rFonts w:hint="eastAsia"/>
          <w:b/>
          <w:color w:val="000000" w:themeColor="text1"/>
          <w:sz w:val="28"/>
          <w:szCs w:val="28"/>
        </w:rPr>
        <w:t>五、</w:t>
      </w:r>
      <w:r>
        <w:rPr>
          <w:rFonts w:hAnsi="宋体" w:hint="eastAsia"/>
          <w:b/>
          <w:kern w:val="0"/>
          <w:sz w:val="28"/>
          <w:szCs w:val="28"/>
        </w:rPr>
        <w:t>招收程序</w:t>
      </w:r>
    </w:p>
    <w:p w:rsidR="000A7DA1" w:rsidRDefault="007A0D2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1、</w:t>
      </w:r>
      <w:r>
        <w:rPr>
          <w:rFonts w:ascii="宋体" w:hAnsi="宋体" w:hint="eastAsia"/>
          <w:sz w:val="24"/>
          <w:szCs w:val="24"/>
        </w:rPr>
        <w:t>申请实习的研究生应于报名截止日</w:t>
      </w:r>
      <w:r>
        <w:rPr>
          <w:rFonts w:ascii="宋体" w:hAnsi="宋体" w:hint="eastAsia"/>
          <w:b/>
          <w:bCs/>
          <w:color w:val="000000" w:themeColor="text1"/>
          <w:sz w:val="24"/>
          <w:szCs w:val="24"/>
        </w:rPr>
        <w:t>2021年</w:t>
      </w:r>
      <w:r w:rsidR="00843623">
        <w:rPr>
          <w:rFonts w:ascii="宋体" w:hAnsi="宋体" w:hint="eastAsia"/>
          <w:b/>
          <w:bCs/>
          <w:color w:val="000000" w:themeColor="text1"/>
          <w:sz w:val="24"/>
          <w:szCs w:val="24"/>
        </w:rPr>
        <w:t>6</w:t>
      </w:r>
      <w:r>
        <w:rPr>
          <w:rFonts w:ascii="宋体" w:hAnsi="宋体" w:hint="eastAsia"/>
          <w:b/>
          <w:bCs/>
          <w:color w:val="000000" w:themeColor="text1"/>
          <w:sz w:val="24"/>
          <w:szCs w:val="24"/>
        </w:rPr>
        <w:t>月1</w:t>
      </w:r>
      <w:r w:rsidR="001A6B8B">
        <w:rPr>
          <w:rFonts w:ascii="宋体" w:hAnsi="宋体" w:hint="eastAsia"/>
          <w:b/>
          <w:bCs/>
          <w:color w:val="000000" w:themeColor="text1"/>
          <w:sz w:val="24"/>
          <w:szCs w:val="24"/>
        </w:rPr>
        <w:t>3</w:t>
      </w:r>
      <w:r>
        <w:rPr>
          <w:rFonts w:ascii="宋体" w:hAnsi="宋体" w:hint="eastAsia"/>
          <w:b/>
          <w:bCs/>
          <w:sz w:val="24"/>
          <w:szCs w:val="24"/>
        </w:rPr>
        <w:t>日</w:t>
      </w:r>
      <w:r>
        <w:rPr>
          <w:rFonts w:ascii="宋体" w:hAnsi="宋体" w:hint="eastAsia"/>
          <w:sz w:val="24"/>
          <w:szCs w:val="24"/>
        </w:rPr>
        <w:t>前提交《</w:t>
      </w:r>
      <w:r>
        <w:rPr>
          <w:rFonts w:hint="eastAsia"/>
          <w:sz w:val="24"/>
          <w:szCs w:val="24"/>
        </w:rPr>
        <w:t>研究生工作站进站申请表》电子版和扫描件（见附件，</w:t>
      </w:r>
      <w:r w:rsidRPr="00843623">
        <w:rPr>
          <w:rFonts w:hint="eastAsia"/>
          <w:b/>
          <w:sz w:val="24"/>
          <w:szCs w:val="24"/>
        </w:rPr>
        <w:t>须有二级学院盖章及导师签字</w:t>
      </w:r>
      <w:r>
        <w:rPr>
          <w:rFonts w:ascii="宋体" w:hAnsi="宋体" w:hint="eastAsia"/>
          <w:sz w:val="24"/>
          <w:szCs w:val="24"/>
        </w:rPr>
        <w:t>)</w:t>
      </w:r>
      <w:r w:rsidR="001A6B8B" w:rsidRPr="001A6B8B">
        <w:rPr>
          <w:rFonts w:ascii="黑体" w:eastAsia="黑体" w:hAnsi="黑体" w:hint="eastAsia"/>
          <w:b/>
          <w:lang w:val="en-GB"/>
        </w:rPr>
        <w:t xml:space="preserve"> </w:t>
      </w:r>
      <w:r w:rsidR="001A6B8B" w:rsidRPr="001A6B8B">
        <w:rPr>
          <w:rFonts w:ascii="黑体" w:eastAsia="黑体" w:hAnsi="黑体" w:hint="eastAsia"/>
          <w:b/>
          <w:sz w:val="24"/>
          <w:szCs w:val="24"/>
          <w:lang w:val="en-GB"/>
        </w:rPr>
        <w:t>同时发送到两个邮箱</w:t>
      </w:r>
      <w:r w:rsidR="001A6B8B" w:rsidRPr="001A6B8B">
        <w:rPr>
          <w:rFonts w:ascii="宋体" w:hAnsi="宋体" w:hint="eastAsia"/>
          <w:sz w:val="24"/>
          <w:szCs w:val="24"/>
        </w:rPr>
        <w:t>：</w:t>
      </w:r>
      <w:hyperlink r:id="rId12" w:history="1">
        <w:r w:rsidR="004479E7" w:rsidRPr="0019469E">
          <w:rPr>
            <w:rStyle w:val="a6"/>
            <w:rFonts w:asciiTheme="minorEastAsia" w:hAnsiTheme="minorEastAsia" w:hint="eastAsia"/>
            <w:b/>
            <w:sz w:val="28"/>
            <w:szCs w:val="28"/>
          </w:rPr>
          <w:t>chderzp@chder.com</w:t>
        </w:r>
      </w:hyperlink>
      <w:r w:rsidR="004479E7">
        <w:rPr>
          <w:rFonts w:asciiTheme="minorEastAsia" w:hAnsiTheme="minorEastAsia" w:hint="eastAsia"/>
          <w:b/>
          <w:sz w:val="28"/>
          <w:szCs w:val="28"/>
        </w:rPr>
        <w:t xml:space="preserve">  </w:t>
      </w:r>
      <w:r w:rsidRPr="00843623">
        <w:rPr>
          <w:rFonts w:asciiTheme="minorEastAsia" w:hAnsiTheme="minorEastAsia" w:hint="eastAsia"/>
          <w:b/>
          <w:sz w:val="28"/>
          <w:szCs w:val="28"/>
        </w:rPr>
        <w:t xml:space="preserve"> </w:t>
      </w:r>
      <w:hyperlink r:id="rId13" w:history="1">
        <w:r w:rsidR="004479E7" w:rsidRPr="0019469E">
          <w:rPr>
            <w:rStyle w:val="a6"/>
            <w:rFonts w:asciiTheme="minorEastAsia" w:hAnsiTheme="minorEastAsia" w:hint="eastAsia"/>
            <w:b/>
            <w:kern w:val="0"/>
            <w:sz w:val="28"/>
            <w:szCs w:val="28"/>
          </w:rPr>
          <w:t>weiminjie@shiep.edu.cn</w:t>
        </w:r>
      </w:hyperlink>
      <w:r w:rsidR="004479E7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邮箱主题为</w:t>
      </w:r>
      <w:r w:rsidR="00843623">
        <w:rPr>
          <w:rFonts w:ascii="宋体" w:hAnsi="宋体" w:hint="eastAsia"/>
          <w:sz w:val="24"/>
          <w:szCs w:val="24"/>
        </w:rPr>
        <w:t>：华电电科院+</w:t>
      </w:r>
      <w:r>
        <w:rPr>
          <w:rFonts w:ascii="宋体" w:hAnsi="宋体" w:hint="eastAsia"/>
          <w:sz w:val="24"/>
          <w:szCs w:val="24"/>
        </w:rPr>
        <w:t>姓名+</w:t>
      </w:r>
      <w:r w:rsidR="00843623">
        <w:rPr>
          <w:rFonts w:ascii="宋体" w:hAnsi="宋体" w:hint="eastAsia"/>
          <w:sz w:val="24"/>
          <w:szCs w:val="24"/>
        </w:rPr>
        <w:t>上海电力大学**学院</w:t>
      </w:r>
      <w:r>
        <w:rPr>
          <w:rFonts w:ascii="宋体" w:hAnsi="宋体" w:hint="eastAsia"/>
          <w:sz w:val="24"/>
          <w:szCs w:val="24"/>
        </w:rPr>
        <w:t>+</w:t>
      </w:r>
      <w:r w:rsidR="00843623">
        <w:rPr>
          <w:rFonts w:ascii="宋体" w:hAnsi="宋体" w:hint="eastAsia"/>
          <w:sz w:val="24"/>
          <w:szCs w:val="24"/>
        </w:rPr>
        <w:t>拟报名</w:t>
      </w:r>
      <w:r>
        <w:rPr>
          <w:rFonts w:ascii="宋体" w:hAnsi="宋体" w:hint="eastAsia"/>
          <w:sz w:val="24"/>
          <w:szCs w:val="24"/>
        </w:rPr>
        <w:t>岗位</w:t>
      </w:r>
      <w:r>
        <w:rPr>
          <w:rFonts w:hint="eastAsia"/>
          <w:sz w:val="24"/>
          <w:szCs w:val="24"/>
        </w:rPr>
        <w:t>。进站报到时提交《申请表》纸质件以及体检报告。</w:t>
      </w:r>
    </w:p>
    <w:p w:rsidR="000A7DA1" w:rsidRDefault="007A0D23">
      <w:pPr>
        <w:spacing w:line="360" w:lineRule="auto"/>
        <w:ind w:firstLineChars="228" w:firstLine="547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2、学校</w:t>
      </w:r>
      <w:r>
        <w:rPr>
          <w:rFonts w:ascii="宋体" w:hAnsi="宋体" w:hint="eastAsia"/>
          <w:sz w:val="24"/>
          <w:szCs w:val="24"/>
        </w:rPr>
        <w:t>和工作站</w:t>
      </w:r>
      <w:r>
        <w:rPr>
          <w:rFonts w:ascii="宋体" w:hAnsi="宋体"/>
          <w:sz w:val="24"/>
          <w:szCs w:val="24"/>
        </w:rPr>
        <w:t>组织</w:t>
      </w:r>
      <w:r>
        <w:rPr>
          <w:rFonts w:ascii="宋体" w:hAnsi="宋体" w:hint="eastAsia"/>
          <w:sz w:val="24"/>
          <w:szCs w:val="24"/>
        </w:rPr>
        <w:t>专家组结合课题需求</w:t>
      </w:r>
      <w:r>
        <w:rPr>
          <w:rFonts w:ascii="宋体" w:hAnsi="宋体"/>
          <w:sz w:val="24"/>
          <w:szCs w:val="24"/>
        </w:rPr>
        <w:t>对申请人进行</w:t>
      </w:r>
      <w:r>
        <w:rPr>
          <w:rFonts w:ascii="宋体" w:hAnsi="宋体" w:hint="eastAsia"/>
          <w:sz w:val="24"/>
          <w:szCs w:val="24"/>
        </w:rPr>
        <w:t>考察</w:t>
      </w:r>
      <w:r>
        <w:rPr>
          <w:rFonts w:ascii="宋体" w:hAnsi="宋体"/>
          <w:sz w:val="24"/>
          <w:szCs w:val="24"/>
        </w:rPr>
        <w:t>，重在考察</w:t>
      </w:r>
      <w:r>
        <w:rPr>
          <w:rFonts w:ascii="宋体" w:hAnsi="宋体" w:hint="eastAsia"/>
          <w:sz w:val="24"/>
          <w:szCs w:val="24"/>
        </w:rPr>
        <w:t>申请</w:t>
      </w:r>
      <w:r>
        <w:rPr>
          <w:rFonts w:ascii="宋体" w:hAnsi="宋体"/>
          <w:sz w:val="24"/>
          <w:szCs w:val="24"/>
        </w:rPr>
        <w:t>者的综合素质、专业基础和</w:t>
      </w:r>
      <w:r>
        <w:rPr>
          <w:rFonts w:ascii="宋体" w:hAnsi="宋体" w:hint="eastAsia"/>
          <w:sz w:val="24"/>
          <w:szCs w:val="24"/>
        </w:rPr>
        <w:t>科研实践创新</w:t>
      </w:r>
      <w:r>
        <w:rPr>
          <w:rFonts w:ascii="宋体" w:hAnsi="宋体"/>
          <w:sz w:val="24"/>
          <w:szCs w:val="24"/>
        </w:rPr>
        <w:t>能力。审定后的</w:t>
      </w:r>
      <w:r>
        <w:rPr>
          <w:rFonts w:ascii="宋体" w:hAnsi="宋体" w:hint="eastAsia"/>
          <w:sz w:val="24"/>
          <w:szCs w:val="24"/>
        </w:rPr>
        <w:t>招收</w:t>
      </w:r>
      <w:r>
        <w:rPr>
          <w:rFonts w:ascii="宋体" w:hAnsi="宋体"/>
          <w:sz w:val="24"/>
          <w:szCs w:val="24"/>
        </w:rPr>
        <w:t>名单</w:t>
      </w:r>
      <w:r>
        <w:rPr>
          <w:rFonts w:ascii="宋体" w:hAnsi="宋体" w:hint="eastAsia"/>
          <w:sz w:val="24"/>
          <w:szCs w:val="24"/>
        </w:rPr>
        <w:t>由研究生院通知二级学院</w:t>
      </w:r>
      <w:r>
        <w:rPr>
          <w:rFonts w:ascii="宋体" w:hAnsi="宋体"/>
          <w:sz w:val="24"/>
          <w:szCs w:val="24"/>
        </w:rPr>
        <w:t>。</w:t>
      </w:r>
    </w:p>
    <w:bookmarkEnd w:id="0"/>
    <w:p w:rsidR="000A7DA1" w:rsidRDefault="000A7DA1">
      <w:pPr>
        <w:rPr>
          <w:b/>
          <w:sz w:val="28"/>
          <w:szCs w:val="28"/>
        </w:rPr>
      </w:pPr>
    </w:p>
    <w:p w:rsidR="000A7DA1" w:rsidRDefault="007A0D2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六、联系方式</w:t>
      </w:r>
    </w:p>
    <w:p w:rsidR="000A7DA1" w:rsidRDefault="007A0D23">
      <w:pPr>
        <w:spacing w:line="360" w:lineRule="auto"/>
        <w:ind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地址：浙江省杭州市西湖区西园一路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号华</w:t>
      </w:r>
      <w:proofErr w:type="gramStart"/>
      <w:r>
        <w:rPr>
          <w:rFonts w:hint="eastAsia"/>
          <w:sz w:val="24"/>
          <w:szCs w:val="24"/>
        </w:rPr>
        <w:t>电</w:t>
      </w:r>
      <w:proofErr w:type="gramEnd"/>
      <w:r>
        <w:rPr>
          <w:rFonts w:hint="eastAsia"/>
          <w:sz w:val="24"/>
          <w:szCs w:val="24"/>
        </w:rPr>
        <w:t>电力科学研究院有限公司</w:t>
      </w:r>
    </w:p>
    <w:p w:rsidR="000A7DA1" w:rsidRDefault="007A0D23">
      <w:pPr>
        <w:spacing w:line="360" w:lineRule="auto"/>
        <w:ind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联系人：傅老师</w:t>
      </w:r>
    </w:p>
    <w:p w:rsidR="000A7DA1" w:rsidRDefault="007A0D23">
      <w:pPr>
        <w:spacing w:line="360" w:lineRule="auto"/>
        <w:ind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电话：</w:t>
      </w:r>
      <w:r>
        <w:rPr>
          <w:rFonts w:hint="eastAsia"/>
          <w:sz w:val="24"/>
          <w:szCs w:val="24"/>
        </w:rPr>
        <w:t xml:space="preserve">0571-85246221     </w:t>
      </w:r>
      <w:r>
        <w:rPr>
          <w:rFonts w:hint="eastAsia"/>
          <w:sz w:val="24"/>
          <w:szCs w:val="24"/>
        </w:rPr>
        <w:t>邮箱：</w:t>
      </w:r>
      <w:r>
        <w:rPr>
          <w:rFonts w:hint="eastAsia"/>
          <w:sz w:val="24"/>
          <w:szCs w:val="24"/>
        </w:rPr>
        <w:t xml:space="preserve"> chderzp@chder.com</w:t>
      </w:r>
      <w:r>
        <w:rPr>
          <w:rFonts w:hint="eastAsia"/>
          <w:sz w:val="24"/>
          <w:szCs w:val="24"/>
        </w:rPr>
        <w:t>（邮箱联系）</w:t>
      </w:r>
    </w:p>
    <w:p w:rsidR="000A7DA1" w:rsidRDefault="007A0D23">
      <w:pPr>
        <w:widowControl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br w:type="page"/>
      </w:r>
    </w:p>
    <w:p w:rsidR="000A7DA1" w:rsidRDefault="000A7DA1">
      <w:pPr>
        <w:spacing w:line="240" w:lineRule="exact"/>
        <w:rPr>
          <w:rFonts w:ascii="Times New Roman" w:eastAsia="宋体" w:hAnsi="Times New Roman" w:cs="Times New Roman"/>
          <w:color w:val="000000"/>
          <w:szCs w:val="21"/>
        </w:rPr>
      </w:pPr>
    </w:p>
    <w:p w:rsidR="000A7DA1" w:rsidRDefault="007A0D23">
      <w:pPr>
        <w:spacing w:line="280" w:lineRule="exact"/>
        <w:jc w:val="center"/>
        <w:rPr>
          <w:rFonts w:ascii="黑体" w:eastAsia="黑体" w:hAnsi="宋体" w:cs="黑体"/>
          <w:sz w:val="30"/>
          <w:szCs w:val="30"/>
        </w:rPr>
      </w:pPr>
      <w:r>
        <w:rPr>
          <w:rFonts w:ascii="黑体" w:eastAsia="黑体" w:hAnsi="宋体" w:cs="黑体" w:hint="eastAsia"/>
          <w:sz w:val="30"/>
          <w:szCs w:val="30"/>
        </w:rPr>
        <w:t>华</w:t>
      </w:r>
      <w:proofErr w:type="gramStart"/>
      <w:r>
        <w:rPr>
          <w:rFonts w:ascii="黑体" w:eastAsia="黑体" w:hAnsi="宋体" w:cs="黑体" w:hint="eastAsia"/>
          <w:sz w:val="30"/>
          <w:szCs w:val="30"/>
        </w:rPr>
        <w:t>电</w:t>
      </w:r>
      <w:proofErr w:type="gramEnd"/>
      <w:r>
        <w:rPr>
          <w:rFonts w:ascii="黑体" w:eastAsia="黑体" w:hAnsi="宋体" w:cs="黑体" w:hint="eastAsia"/>
          <w:sz w:val="30"/>
          <w:szCs w:val="30"/>
        </w:rPr>
        <w:t>电力科学研究院有限公司实习申请表</w:t>
      </w:r>
    </w:p>
    <w:p w:rsidR="000A7DA1" w:rsidRDefault="000A7DA1">
      <w:pPr>
        <w:spacing w:line="280" w:lineRule="exact"/>
        <w:jc w:val="center"/>
        <w:rPr>
          <w:rFonts w:ascii="黑体" w:eastAsia="黑体" w:hAnsi="宋体" w:cs="黑体"/>
          <w:sz w:val="30"/>
          <w:szCs w:val="30"/>
        </w:rPr>
      </w:pPr>
    </w:p>
    <w:tbl>
      <w:tblPr>
        <w:tblW w:w="936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744"/>
        <w:gridCol w:w="567"/>
        <w:gridCol w:w="1136"/>
        <w:gridCol w:w="282"/>
        <w:gridCol w:w="1138"/>
        <w:gridCol w:w="564"/>
        <w:gridCol w:w="148"/>
        <w:gridCol w:w="992"/>
        <w:gridCol w:w="1129"/>
        <w:gridCol w:w="1709"/>
      </w:tblGrid>
      <w:tr w:rsidR="000A7DA1">
        <w:trPr>
          <w:trHeight w:val="510"/>
        </w:trPr>
        <w:tc>
          <w:tcPr>
            <w:tcW w:w="17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    别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生源地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7A0D23">
            <w:pPr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Calibri" w:cs="宋体" w:hint="eastAsia"/>
                <w:spacing w:val="85"/>
                <w:sz w:val="24"/>
                <w:szCs w:val="24"/>
              </w:rPr>
              <w:t>电子照</w:t>
            </w:r>
            <w:r>
              <w:rPr>
                <w:rFonts w:ascii="宋体" w:eastAsia="宋体" w:hAnsi="Calibri" w:cs="宋体" w:hint="eastAsia"/>
                <w:spacing w:val="1"/>
                <w:sz w:val="24"/>
                <w:szCs w:val="24"/>
              </w:rPr>
              <w:t>片</w:t>
            </w:r>
          </w:p>
        </w:tc>
      </w:tr>
      <w:tr w:rsidR="000A7DA1">
        <w:trPr>
          <w:trHeight w:val="51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民    族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身高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rPr>
                <w:rFonts w:ascii="Calibri" w:eastAsia="宋体" w:hAnsi="Calibri" w:cs="Times New Roman"/>
              </w:rPr>
            </w:pPr>
          </w:p>
        </w:tc>
      </w:tr>
      <w:tr w:rsidR="000A7DA1">
        <w:trPr>
          <w:trHeight w:val="59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年级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Calibri" w:cs="宋体" w:hint="eastAsia"/>
                <w:sz w:val="24"/>
                <w:szCs w:val="24"/>
              </w:rPr>
              <w:t>联系电话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ind w:firstLineChars="50" w:firstLine="120"/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rPr>
                <w:rFonts w:ascii="Calibri" w:eastAsia="宋体" w:hAnsi="Calibri" w:cs="Times New Roman"/>
              </w:rPr>
            </w:pPr>
          </w:p>
        </w:tc>
      </w:tr>
      <w:tr w:rsidR="000A7DA1">
        <w:trPr>
          <w:trHeight w:val="51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在读专业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学校导师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rPr>
                <w:rFonts w:ascii="Calibri" w:eastAsia="宋体" w:hAnsi="Calibri" w:cs="Times New Roman"/>
              </w:rPr>
            </w:pPr>
          </w:p>
        </w:tc>
      </w:tr>
      <w:tr w:rsidR="000A7DA1">
        <w:trPr>
          <w:trHeight w:val="51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类     别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ind w:firstLineChars="10" w:firstLine="21"/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Calibri" w:cs="宋体" w:hint="eastAsia"/>
                <w:sz w:val="24"/>
                <w:szCs w:val="24"/>
              </w:rPr>
              <w:t xml:space="preserve">学术  </w:t>
            </w:r>
            <w:r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Calibri" w:cs="宋体" w:hint="eastAsia"/>
                <w:sz w:val="24"/>
                <w:szCs w:val="24"/>
              </w:rPr>
              <w:t>专业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申请在站时间</w:t>
            </w: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</w:rPr>
              <w:t>日至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</w:rPr>
              <w:t>日</w:t>
            </w:r>
          </w:p>
        </w:tc>
      </w:tr>
      <w:tr w:rsidR="000A7DA1">
        <w:trPr>
          <w:trHeight w:val="51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在校研究方向</w:t>
            </w:r>
          </w:p>
        </w:tc>
        <w:tc>
          <w:tcPr>
            <w:tcW w:w="7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</w:tr>
      <w:tr w:rsidR="000A7DA1">
        <w:trPr>
          <w:trHeight w:val="1141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研究</w:t>
            </w:r>
          </w:p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经历</w:t>
            </w:r>
          </w:p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及成果</w:t>
            </w:r>
          </w:p>
        </w:tc>
        <w:tc>
          <w:tcPr>
            <w:tcW w:w="7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ind w:left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A7DA1">
        <w:trPr>
          <w:trHeight w:val="1286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获</w:t>
            </w:r>
          </w:p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奖</w:t>
            </w:r>
          </w:p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情</w:t>
            </w:r>
          </w:p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rPr>
                <w:rFonts w:ascii="宋体" w:eastAsia="宋体" w:hAnsi="Calibri" w:cs="宋体"/>
                <w:sz w:val="24"/>
                <w:szCs w:val="24"/>
              </w:rPr>
            </w:pPr>
          </w:p>
        </w:tc>
      </w:tr>
      <w:tr w:rsidR="000A7DA1">
        <w:trPr>
          <w:trHeight w:val="130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拟参加课题名称</w:t>
            </w:r>
          </w:p>
          <w:p w:rsidR="000A7DA1" w:rsidRDefault="007A0D2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(1-3个)</w:t>
            </w:r>
          </w:p>
        </w:tc>
        <w:tc>
          <w:tcPr>
            <w:tcW w:w="7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7A0D23">
            <w:pPr>
              <w:rPr>
                <w:rFonts w:ascii="宋体" w:eastAsia="宋体" w:hAnsi="Calibri" w:cs="宋体"/>
                <w:szCs w:val="21"/>
              </w:rPr>
            </w:pPr>
            <w:r>
              <w:rPr>
                <w:rFonts w:ascii="宋体" w:eastAsia="宋体" w:hAnsi="Calibri" w:cs="宋体" w:hint="eastAsia"/>
                <w:szCs w:val="21"/>
              </w:rPr>
              <w:t>1、序号XX：课题名称</w:t>
            </w:r>
            <w:r>
              <w:rPr>
                <w:rFonts w:ascii="宋体" w:eastAsia="宋体" w:hAnsi="Calibri" w:cs="Times New Roman"/>
                <w:szCs w:val="21"/>
              </w:rPr>
              <w:t>—</w:t>
            </w:r>
            <w:r>
              <w:rPr>
                <w:rFonts w:ascii="宋体" w:eastAsia="宋体" w:hAnsi="Calibri" w:cs="宋体" w:hint="eastAsia"/>
                <w:szCs w:val="21"/>
              </w:rPr>
              <w:t>企业老师</w:t>
            </w:r>
          </w:p>
          <w:p w:rsidR="000A7DA1" w:rsidRDefault="007A0D23">
            <w:pPr>
              <w:rPr>
                <w:rFonts w:ascii="宋体" w:eastAsia="宋体" w:hAnsi="Calibri" w:cs="宋体"/>
                <w:szCs w:val="21"/>
              </w:rPr>
            </w:pPr>
            <w:r>
              <w:rPr>
                <w:rFonts w:ascii="宋体" w:eastAsia="宋体" w:hAnsi="Calibri" w:cs="宋体" w:hint="eastAsia"/>
                <w:szCs w:val="21"/>
              </w:rPr>
              <w:t>2、序号XX：课题名称</w:t>
            </w:r>
            <w:r>
              <w:rPr>
                <w:rFonts w:ascii="宋体" w:eastAsia="宋体" w:hAnsi="Calibri" w:cs="Times New Roman"/>
                <w:szCs w:val="21"/>
              </w:rPr>
              <w:t>—</w:t>
            </w:r>
            <w:r>
              <w:rPr>
                <w:rFonts w:ascii="宋体" w:eastAsia="宋体" w:hAnsi="Calibri" w:cs="宋体" w:hint="eastAsia"/>
                <w:szCs w:val="21"/>
              </w:rPr>
              <w:t>企业老师</w:t>
            </w:r>
          </w:p>
          <w:p w:rsidR="000A7DA1" w:rsidRDefault="007A0D23">
            <w:pPr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Calibri" w:cs="宋体" w:hint="eastAsia"/>
                <w:szCs w:val="21"/>
              </w:rPr>
              <w:t>3、序号XX：课题名称</w:t>
            </w:r>
            <w:r>
              <w:rPr>
                <w:rFonts w:ascii="宋体" w:eastAsia="宋体" w:hAnsi="Calibri" w:cs="Times New Roman"/>
                <w:szCs w:val="21"/>
              </w:rPr>
              <w:t>—</w:t>
            </w:r>
            <w:r>
              <w:rPr>
                <w:rFonts w:ascii="宋体" w:eastAsia="宋体" w:hAnsi="Calibri" w:cs="宋体" w:hint="eastAsia"/>
                <w:szCs w:val="21"/>
              </w:rPr>
              <w:t>企业老师</w:t>
            </w:r>
          </w:p>
        </w:tc>
      </w:tr>
      <w:tr w:rsidR="000A7DA1">
        <w:trPr>
          <w:trHeight w:val="510"/>
        </w:trPr>
        <w:tc>
          <w:tcPr>
            <w:tcW w:w="936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本人简历</w:t>
            </w:r>
            <w:r>
              <w:rPr>
                <w:rFonts w:ascii="宋体" w:eastAsia="宋体" w:hAnsi="宋体" w:cs="宋体" w:hint="eastAsia"/>
                <w:szCs w:val="21"/>
              </w:rPr>
              <w:t>（从高中阶段开始）</w:t>
            </w:r>
          </w:p>
        </w:tc>
      </w:tr>
      <w:tr w:rsidR="000A7DA1">
        <w:trPr>
          <w:trHeight w:val="51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起止日期</w:t>
            </w:r>
          </w:p>
        </w:tc>
        <w:tc>
          <w:tcPr>
            <w:tcW w:w="7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学习或工作单位</w:t>
            </w:r>
          </w:p>
        </w:tc>
      </w:tr>
      <w:tr w:rsidR="000A7DA1">
        <w:trPr>
          <w:trHeight w:val="51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7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</w:tr>
      <w:tr w:rsidR="000A7DA1">
        <w:trPr>
          <w:trHeight w:val="51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7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</w:tr>
      <w:tr w:rsidR="000A7DA1">
        <w:trPr>
          <w:trHeight w:val="51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7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center"/>
              <w:rPr>
                <w:rFonts w:ascii="宋体" w:eastAsia="宋体" w:hAnsi="Calibri" w:cs="宋体"/>
                <w:color w:val="FF0000"/>
                <w:sz w:val="24"/>
                <w:szCs w:val="24"/>
              </w:rPr>
            </w:pPr>
          </w:p>
        </w:tc>
      </w:tr>
      <w:tr w:rsidR="000A7DA1">
        <w:trPr>
          <w:trHeight w:val="1226"/>
        </w:trPr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导师</w:t>
            </w:r>
          </w:p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意见</w:t>
            </w:r>
          </w:p>
        </w:tc>
        <w:tc>
          <w:tcPr>
            <w:tcW w:w="3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A7DA1" w:rsidRDefault="000A7DA1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A7DA1" w:rsidRDefault="000A7DA1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A7DA1" w:rsidRDefault="007A0D23">
            <w:pPr>
              <w:ind w:firstLineChars="700" w:firstLine="1680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签字：</w:t>
            </w:r>
          </w:p>
          <w:p w:rsidR="000A7DA1" w:rsidRDefault="007A0D23">
            <w:pPr>
              <w:ind w:firstLineChars="700" w:firstLine="1680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日期：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学院意见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A7DA1" w:rsidRDefault="000A7DA1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A7DA1" w:rsidRDefault="000A7DA1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A7DA1" w:rsidRDefault="007A0D23">
            <w:pPr>
              <w:ind w:firstLineChars="900" w:firstLine="2160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（盖章）</w:t>
            </w:r>
          </w:p>
          <w:p w:rsidR="000A7DA1" w:rsidRDefault="007A0D23">
            <w:pPr>
              <w:ind w:firstLineChars="800" w:firstLine="1920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日期：</w:t>
            </w:r>
          </w:p>
        </w:tc>
      </w:tr>
      <w:tr w:rsidR="000A7DA1">
        <w:trPr>
          <w:trHeight w:val="1071"/>
        </w:trPr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Calibri" w:cs="宋体" w:hint="eastAsia"/>
                <w:sz w:val="24"/>
                <w:szCs w:val="24"/>
              </w:rPr>
              <w:t>实习单位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意见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7DA1" w:rsidRDefault="000A7DA1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A7DA1" w:rsidRDefault="000A7DA1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  （盖章）</w:t>
            </w:r>
          </w:p>
          <w:p w:rsidR="000A7DA1" w:rsidRDefault="007A0D23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日期：</w:t>
            </w:r>
          </w:p>
        </w:tc>
      </w:tr>
    </w:tbl>
    <w:p w:rsidR="000A7DA1" w:rsidRDefault="000A7DA1">
      <w:pPr>
        <w:rPr>
          <w:rFonts w:ascii="仿宋_GB2312" w:eastAsia="仿宋_GB2312" w:hAnsi="Times New Roman" w:cs="Times New Roman"/>
          <w:bCs/>
          <w:szCs w:val="21"/>
        </w:rPr>
      </w:pPr>
    </w:p>
    <w:sectPr w:rsidR="000A7DA1" w:rsidSect="000A7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58C" w:rsidRDefault="00AD558C" w:rsidP="00222A14">
      <w:r>
        <w:separator/>
      </w:r>
    </w:p>
  </w:endnote>
  <w:endnote w:type="continuationSeparator" w:id="0">
    <w:p w:rsidR="00AD558C" w:rsidRDefault="00AD558C" w:rsidP="00222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58C" w:rsidRDefault="00AD558C" w:rsidP="00222A14">
      <w:r>
        <w:separator/>
      </w:r>
    </w:p>
  </w:footnote>
  <w:footnote w:type="continuationSeparator" w:id="0">
    <w:p w:rsidR="00AD558C" w:rsidRDefault="00AD558C" w:rsidP="00222A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170AD"/>
    <w:multiLevelType w:val="multilevel"/>
    <w:tmpl w:val="36A170AD"/>
    <w:lvl w:ilvl="0">
      <w:start w:val="1"/>
      <w:numFmt w:val="none"/>
      <w:lvlText w:val="一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46EB6"/>
    <w:rsid w:val="00014196"/>
    <w:rsid w:val="000A7DA1"/>
    <w:rsid w:val="000C1144"/>
    <w:rsid w:val="000D49C3"/>
    <w:rsid w:val="001113B8"/>
    <w:rsid w:val="001A6B8B"/>
    <w:rsid w:val="001E11E3"/>
    <w:rsid w:val="001E353E"/>
    <w:rsid w:val="00222A14"/>
    <w:rsid w:val="0028405A"/>
    <w:rsid w:val="0031346B"/>
    <w:rsid w:val="00344824"/>
    <w:rsid w:val="003B1C9A"/>
    <w:rsid w:val="003B4D0C"/>
    <w:rsid w:val="003E5D1D"/>
    <w:rsid w:val="003F6D44"/>
    <w:rsid w:val="004479E7"/>
    <w:rsid w:val="00477A01"/>
    <w:rsid w:val="0048468F"/>
    <w:rsid w:val="004C6C89"/>
    <w:rsid w:val="004D414D"/>
    <w:rsid w:val="00517D74"/>
    <w:rsid w:val="00527394"/>
    <w:rsid w:val="005C1B33"/>
    <w:rsid w:val="006574D3"/>
    <w:rsid w:val="006B4B1E"/>
    <w:rsid w:val="006D16A5"/>
    <w:rsid w:val="006E3AC7"/>
    <w:rsid w:val="00746EB6"/>
    <w:rsid w:val="00763A04"/>
    <w:rsid w:val="00767EED"/>
    <w:rsid w:val="007A0D23"/>
    <w:rsid w:val="008171F6"/>
    <w:rsid w:val="00843623"/>
    <w:rsid w:val="008E7C95"/>
    <w:rsid w:val="00982E63"/>
    <w:rsid w:val="00A041EF"/>
    <w:rsid w:val="00A15FC5"/>
    <w:rsid w:val="00AD558C"/>
    <w:rsid w:val="00B561C4"/>
    <w:rsid w:val="00C8193A"/>
    <w:rsid w:val="00DA5D37"/>
    <w:rsid w:val="00E9102D"/>
    <w:rsid w:val="00F04213"/>
    <w:rsid w:val="00F43989"/>
    <w:rsid w:val="00F674FA"/>
    <w:rsid w:val="00FC6EA4"/>
    <w:rsid w:val="489D7565"/>
    <w:rsid w:val="4B5D05CB"/>
    <w:rsid w:val="574A752B"/>
    <w:rsid w:val="6C5F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A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0A7DA1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0A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0A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0A7DA1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0A7DA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0A7DA1"/>
    <w:rPr>
      <w:sz w:val="18"/>
      <w:szCs w:val="18"/>
    </w:rPr>
  </w:style>
  <w:style w:type="paragraph" w:styleId="a7">
    <w:name w:val="List Paragraph"/>
    <w:basedOn w:val="a"/>
    <w:uiPriority w:val="34"/>
    <w:qFormat/>
    <w:rsid w:val="000A7DA1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0A7DA1"/>
  </w:style>
  <w:style w:type="character" w:customStyle="1" w:styleId="font21">
    <w:name w:val="font21"/>
    <w:basedOn w:val="a0"/>
    <w:rsid w:val="000A7DA1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sid w:val="000A7DA1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8">
    <w:name w:val="Balloon Text"/>
    <w:basedOn w:val="a"/>
    <w:link w:val="Char2"/>
    <w:uiPriority w:val="99"/>
    <w:semiHidden/>
    <w:unhideWhenUsed/>
    <w:rsid w:val="00222A1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222A1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weiminjie@shiep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derzp@chde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7</Pages>
  <Words>533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</dc:creator>
  <cp:lastModifiedBy>Wei</cp:lastModifiedBy>
  <cp:revision>25</cp:revision>
  <dcterms:created xsi:type="dcterms:W3CDTF">2021-05-18T05:37:00Z</dcterms:created>
  <dcterms:modified xsi:type="dcterms:W3CDTF">2021-06-07T01:00:00Z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17355B40D0E842969EB6C96E410038F5</vt:lpwstr>
  </property>
</Properties>
</file>